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Normal"/>
        <w:spacing w:after="0" w:line="240" w:lineRule="auto"/>
        <w:rPr>
          <w:rFonts w:ascii="Times New Roman" w:hAnsi="Times New Roman" w:eastAsia="Times New Roman"/>
          <w:b/>
          <w:color w:val="000000"/>
          <w:sz w:val="28"/>
          <w:szCs w:val="28"/>
          <w:lang w:val="en-US" w:eastAsia="ru-RU"/>
        </w:rPr>
      </w:pPr>
      <w:r>
        <w:rPr>
          <w:rFonts w:ascii="Times New Roman" w:hAnsi="Times New Roman" w:eastAsia="Times New Roman"/>
          <w:b/>
          <w:color w:val="000000"/>
          <w:sz w:val="28"/>
          <w:szCs w:val="28"/>
          <w:lang w:eastAsia="ru-RU"/>
        </w:rPr>
        <w:t xml:space="preserve">На вебинаре рассказали о страховых взносах за руководителей коммерческих организаций</w:t>
      </w:r>
      <w:r>
        <w:rPr>
          <w:rFonts w:ascii="Times New Roman" w:hAnsi="Times New Roman" w:eastAsia="Times New Roman"/>
          <w:b/>
          <w:color w:val="000000"/>
          <w:sz w:val="28"/>
          <w:szCs w:val="28"/>
          <w:lang w:val="en-US" w:eastAsia="ru-RU"/>
        </w:rPr>
      </w:r>
    </w:p>
    <w:p>
      <w:pPr>
        <w:pStyle w:val="Normal"/>
        <w:spacing w:after="0" w:line="240" w:lineRule="auto"/>
        <w:rPr>
          <w:rFonts w:ascii="Times New Roman" w:hAnsi="Times New Roman" w:eastAsia="Times New Roman"/>
          <w:color w:val="000000"/>
          <w:sz w:val="28"/>
          <w:szCs w:val="28"/>
          <w:lang w:val="en-US" w:eastAsia="ru-RU"/>
        </w:rPr>
      </w:pPr>
      <w:r>
        <w:rPr>
          <w:rFonts w:ascii="Times New Roman" w:hAnsi="Times New Roman" w:eastAsia="Times New Roman"/>
          <w:color w:val="000000"/>
          <w:sz w:val="28"/>
          <w:szCs w:val="28"/>
          <w:lang w:val="en-US" w:eastAsia="ru-RU"/>
        </w:rPr>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С 1 января 2026 года для директоров компаний вводится ежемесячная минимальная база по страховым взносам, равная одному минимальному размеру оплаты труда. Об этом рассказала старший государственный налоговый инспектор отдела камерального контроля НДФЛ и СВ №1 </w:t>
      </w:r>
      <w:r>
        <w:rPr>
          <w:rFonts w:ascii="Times New Roman" w:hAnsi="Times New Roman" w:eastAsia="Times New Roman"/>
          <w:b/>
          <w:bCs/>
          <w:color w:val="000000"/>
          <w:sz w:val="28"/>
          <w:szCs w:val="28"/>
          <w:lang w:eastAsia="ru-RU"/>
        </w:rPr>
        <w:t xml:space="preserve">Алеся Благовестникова</w:t>
      </w:r>
      <w:r>
        <w:rPr>
          <w:rFonts w:ascii="Times New Roman" w:hAnsi="Times New Roman" w:eastAsia="Times New Roman"/>
          <w:color w:val="000000"/>
          <w:sz w:val="28"/>
          <w:szCs w:val="28"/>
          <w:lang w:eastAsia="ru-RU"/>
        </w:rPr>
        <w:t xml:space="preserve"> на вебинаре Управления ФНС России по Костромской области. Он был посвящен нововведениям в части страховых взносов в рамках </w:t>
      </w:r>
      <w:r>
        <w:rPr>
          <w:rFonts w:ascii="Times New Roman" w:hAnsi="Times New Roman" w:eastAsia="Times New Roman"/>
          <w:color w:val="000000"/>
          <w:sz w:val="28"/>
          <w:szCs w:val="28"/>
          <w:lang w:eastAsia="ru-RU"/>
        </w:rPr>
        <w:fldChar w:fldCharType="begin"/>
      </w:r>
      <w:r>
        <w:rPr>
          <w:rFonts w:ascii="Times New Roman" w:hAnsi="Times New Roman" w:eastAsia="Times New Roman"/>
          <w:color w:val="000000"/>
          <w:sz w:val="28"/>
          <w:szCs w:val="28"/>
          <w:lang w:eastAsia="ru-RU"/>
        </w:rPr>
        <w:instrText xml:space="preserve"> HYPERLINK "http://publication.pravo.gov.ru/document/0001202511280017" </w:instrText>
      </w:r>
      <w:r>
        <w:rPr>
          <w:rFonts w:ascii="Times New Roman" w:hAnsi="Times New Roman" w:eastAsia="Times New Roman"/>
          <w:color w:val="000000"/>
          <w:sz w:val="28"/>
          <w:szCs w:val="28"/>
          <w:lang w:eastAsia="ru-RU"/>
        </w:rPr>
        <w:fldChar w:fldCharType="separate"/>
      </w:r>
      <w:r>
        <w:rPr>
          <w:rFonts w:ascii="Times New Roman" w:hAnsi="Times New Roman" w:eastAsia="Times New Roman"/>
          <w:color w:val="0000ff"/>
          <w:sz w:val="28"/>
          <w:szCs w:val="28"/>
          <w:u w:val="single"/>
          <w:lang w:eastAsia="ru-RU"/>
        </w:rPr>
        <w:t xml:space="preserve">Федерального закона № 425-ФЗ</w:t>
      </w:r>
      <w:r>
        <w:rPr>
          <w:rFonts w:ascii="Times New Roman" w:hAnsi="Times New Roman" w:eastAsia="Times New Roman"/>
          <w:color w:val="000000"/>
          <w:sz w:val="28"/>
          <w:szCs w:val="28"/>
          <w:lang w:eastAsia="ru-RU"/>
        </w:rPr>
        <w:fldChar w:fldCharType="end"/>
      </w:r>
      <w:r>
        <w:rPr>
          <w:rFonts w:ascii="Times New Roman" w:hAnsi="Times New Roman" w:eastAsia="Times New Roman"/>
          <w:color w:val="000000"/>
          <w:sz w:val="28"/>
          <w:szCs w:val="28"/>
          <w:lang w:eastAsia="ru-RU"/>
        </w:rPr>
        <w:t xml:space="preserve">.</w:t>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Для руководителей и директоров коммерческих организаций, независимо от наличия сотрудников, установлены взносы на обязательное пенсионное страхование. Они будут исчисляться ежемесячно с выплат и иных вознаграждений исходя из МРОТ, если зарплата первого лица компании заявлена ниже минимального размера оплаты труда или вовсе отсутствует. На 2026 год МРОТ составляет 27 093 руб.</w:t>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Спикер подчеркнула, что руководитель в юридическом лице является «постоянно действующим исполнительным органом». Это значит, что снизить минимальную налоговую базу по страховым взносам за счет 0,5 ставки, больничного, отпуска за свой счет или без сохранения заработной платы не получится.</w:t>
      </w:r>
    </w:p>
    <w:p>
      <w:pPr>
        <w:pStyle w:val="Normal"/>
        <w:spacing w:after="0" w:line="240" w:lineRule="auto"/>
      </w:pPr>
      <w:r>
        <w:rPr>
          <w:rFonts w:ascii="Times New Roman" w:hAnsi="Times New Roman" w:eastAsia="Times New Roman"/>
          <w:color w:val="000000"/>
          <w:sz w:val="28"/>
          <w:szCs w:val="28"/>
          <w:lang w:eastAsia="ru-RU"/>
        </w:rPr>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b/>
          <w:bCs/>
          <w:color w:val="000000"/>
          <w:sz w:val="28"/>
          <w:szCs w:val="28"/>
          <w:lang w:eastAsia="ru-RU"/>
        </w:rPr>
        <w:t xml:space="preserve">Алеся Благовестникова</w:t>
      </w:r>
      <w:r>
        <w:rPr>
          <w:rFonts w:ascii="Times New Roman" w:hAnsi="Times New Roman" w:eastAsia="Times New Roman"/>
          <w:color w:val="000000"/>
          <w:sz w:val="28"/>
          <w:szCs w:val="28"/>
          <w:lang w:eastAsia="ru-RU"/>
        </w:rPr>
        <w:t xml:space="preserve"> отметила, что если сумма выплат директору компании по строке 030 РСВ будет меньше установленного МРОТ, то налоговая доначислит страховые взносы, а также пени и штрафы. При непредставлении расчета по страховым взносам </w:t>
      </w:r>
      <w:r>
        <w:rPr>
          <w:rFonts w:ascii="Times New Roman" w:hAnsi="Times New Roman" w:eastAsia="Times New Roman"/>
          <w:color w:val="000000"/>
          <w:sz w:val="28"/>
          <w:szCs w:val="28"/>
          <w:lang w:eastAsia="ru-RU"/>
        </w:rPr>
        <w:fldChar w:fldCharType="begin"/>
      </w:r>
      <w:r>
        <w:rPr>
          <w:rFonts w:ascii="Times New Roman" w:hAnsi="Times New Roman" w:eastAsia="Times New Roman"/>
          <w:color w:val="000000"/>
          <w:sz w:val="28"/>
          <w:szCs w:val="28"/>
          <w:lang w:eastAsia="ru-RU"/>
        </w:rPr>
        <w:instrText xml:space="preserve"> HYPERLINK "http://nalog.garant.ru/fns/nk/ef67419dbaa01e4d228acc1d3cf42314/" </w:instrText>
      </w:r>
      <w:r>
        <w:rPr>
          <w:rFonts w:ascii="Times New Roman" w:hAnsi="Times New Roman" w:eastAsia="Times New Roman"/>
          <w:color w:val="000000"/>
          <w:sz w:val="28"/>
          <w:szCs w:val="28"/>
          <w:lang w:eastAsia="ru-RU"/>
        </w:rPr>
        <w:fldChar w:fldCharType="separate"/>
      </w:r>
      <w:r>
        <w:rPr>
          <w:rFonts w:ascii="Times New Roman" w:hAnsi="Times New Roman" w:eastAsia="Times New Roman"/>
          <w:color w:val="0000ff"/>
          <w:sz w:val="28"/>
          <w:szCs w:val="28"/>
          <w:u w:val="single"/>
          <w:lang w:eastAsia="ru-RU"/>
        </w:rPr>
        <w:t xml:space="preserve">счета органи</w:t>
      </w:r>
      <w:bookmarkStart w:id="0" w:name="_Hlt217577075"/>
      <w:r>
        <w:rPr>
          <w:rFonts w:ascii="Times New Roman" w:hAnsi="Times New Roman" w:eastAsia="Times New Roman"/>
          <w:color w:val="0000ff"/>
          <w:sz w:val="28"/>
          <w:szCs w:val="28"/>
          <w:u w:val="single"/>
          <w:lang w:eastAsia="ru-RU"/>
        </w:rPr>
        <w:t xml:space="preserve">з</w:t>
      </w:r>
      <w:bookmarkEnd w:id="0"/>
      <w:r>
        <w:rPr>
          <w:rFonts w:ascii="Times New Roman" w:hAnsi="Times New Roman" w:eastAsia="Times New Roman"/>
          <w:color w:val="0000ff"/>
          <w:sz w:val="28"/>
          <w:szCs w:val="28"/>
          <w:u w:val="single"/>
          <w:lang w:eastAsia="ru-RU"/>
        </w:rPr>
        <w:t xml:space="preserve">ации будут заблокированы</w:t>
      </w:r>
      <w:r>
        <w:rPr>
          <w:rFonts w:ascii="Times New Roman" w:hAnsi="Times New Roman" w:eastAsia="Times New Roman"/>
          <w:color w:val="000000"/>
          <w:sz w:val="28"/>
          <w:szCs w:val="28"/>
          <w:lang w:eastAsia="ru-RU"/>
        </w:rPr>
        <w:fldChar w:fldCharType="end"/>
      </w:r>
      <w:r>
        <w:rPr>
          <w:rFonts w:ascii="Times New Roman" w:hAnsi="Times New Roman" w:eastAsia="Times New Roman"/>
          <w:color w:val="000000"/>
          <w:sz w:val="28"/>
          <w:szCs w:val="28"/>
          <w:lang w:eastAsia="ru-RU"/>
        </w:rPr>
        <w:t xml:space="preserve">.</w:t>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При создании коммерческой организации или ее ликвидации сумма страховых взносов за директора рассчитывается пропорционально количеству календарных дней месяца регистрации или снятия с учета. Например, при регистрации общества 15 марта 2026 года сумма страховых взносов будет рассчитываться включительно с 15 по 31 марта.</w:t>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Спикер также напомнила, что на 2026 год единая предельная величина базы для расчета страховых взносов составляет 2 млн 979 тыс. руб.</w:t>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r>
    </w:p>
    <w:p>
      <w:pPr>
        <w:pStyle w:val="Normal"/>
        <w:spacing w:after="0" w:line="240" w:lineRule="auto"/>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Запись вебинара доступна по ссылке: </w:t>
      </w:r>
      <w:r>
        <w:rPr>
          <w:rFonts w:ascii="Times New Roman" w:hAnsi="Times New Roman" w:eastAsia="Times New Roman"/>
          <w:color w:val="000000"/>
          <w:sz w:val="28"/>
          <w:szCs w:val="28"/>
          <w:lang w:eastAsia="ru-RU"/>
        </w:rPr>
        <w:fldChar w:fldCharType="begin"/>
      </w:r>
      <w:r>
        <w:rPr>
          <w:rFonts w:ascii="Times New Roman" w:hAnsi="Times New Roman" w:eastAsia="Times New Roman"/>
          <w:color w:val="000000"/>
          <w:sz w:val="28"/>
          <w:szCs w:val="28"/>
          <w:lang w:eastAsia="ru-RU"/>
        </w:rPr>
        <w:instrText xml:space="preserve"> HYPERLINK "https://w.saby.ru/webinar/c5cf5544-bbdd-46f2-a037-0c503b6d948c" </w:instrText>
      </w:r>
      <w:r>
        <w:rPr>
          <w:rFonts w:ascii="Times New Roman" w:hAnsi="Times New Roman" w:eastAsia="Times New Roman"/>
          <w:color w:val="000000"/>
          <w:sz w:val="28"/>
          <w:szCs w:val="28"/>
          <w:lang w:eastAsia="ru-RU"/>
        </w:rPr>
        <w:fldChar w:fldCharType="separate"/>
      </w:r>
      <w:r>
        <w:rPr>
          <w:rFonts w:ascii="Times New Roman" w:hAnsi="Times New Roman" w:eastAsia="Times New Roman"/>
          <w:color w:val="0000ff"/>
          <w:sz w:val="28"/>
          <w:szCs w:val="28"/>
          <w:u w:val="single"/>
          <w:lang w:eastAsia="ru-RU"/>
        </w:rPr>
        <w:t xml:space="preserve">https://w.saby.ru/webinar/c5cf5544-bbdd-46f2-a037-0c503b6d948c</w:t>
      </w:r>
      <w:r>
        <w:rPr>
          <w:rFonts w:ascii="Times New Roman" w:hAnsi="Times New Roman" w:eastAsia="Times New Roman"/>
          <w:color w:val="000000"/>
          <w:sz w:val="28"/>
          <w:szCs w:val="28"/>
          <w:lang w:eastAsia="ru-RU"/>
        </w:rPr>
        <w:fldChar w:fldCharType="end"/>
      </w:r>
      <w:r>
        <w:rPr>
          <w:rFonts w:ascii="Times New Roman" w:hAnsi="Times New Roman" w:eastAsia="Times New Roman"/>
          <w:color w:val="000000"/>
          <w:sz w:val="28"/>
          <w:szCs w:val="28"/>
          <w:lang w:eastAsia="ru-RU"/>
        </w:rPr>
      </w:r>
    </w:p>
    <w:sectPr>
      <w:type w:val="nextPage"/>
      <w:pgSz w:h="16838" w:w="11906"/>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Calibri">
    <w:panose1 w:val="020F0502020204030204"/>
  </w:font>
  <w:font w:name="Cambria">
    <w:panose1 w:val="020405030504060302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lvlJc w:val="left"/>
      <w:lvlText w:val="%1."/>
      <w:numFmt w:val="decimal"/>
      <w:pPr>
        <w:tabs>
          <w:tab w:val="num" w:leader="none" w:pos="720"/>
        </w:tabs>
        <w:ind w:hanging="360" w:left="720"/>
      </w:pPr>
      <w:start w:val="1"/>
      <w:suff w:val="tab"/>
    </w:lvl>
    <w:lvl w:ilvl="1">
      <w:lvlJc w:val="left"/>
      <w:lvlText w:val="%2."/>
      <w:numFmt w:val="decimal"/>
      <w:pPr>
        <w:tabs>
          <w:tab w:val="num" w:leader="none" w:pos="1440"/>
        </w:tabs>
        <w:ind w:hanging="360" w:left="1440"/>
      </w:pPr>
      <w:start w:val="1"/>
      <w:suff w:val="tab"/>
    </w:lvl>
    <w:lvl w:ilvl="2">
      <w:lvlJc w:val="left"/>
      <w:lvlText w:val="%3."/>
      <w:numFmt w:val="decimal"/>
      <w:pPr>
        <w:tabs>
          <w:tab w:val="num" w:leader="none" w:pos="2160"/>
        </w:tabs>
        <w:ind w:hanging="360" w:left="2160"/>
      </w:pPr>
      <w:start w:val="1"/>
      <w:suff w:val="tab"/>
    </w:lvl>
    <w:lvl w:ilvl="3">
      <w:lvlJc w:val="left"/>
      <w:lvlText w:val="%4."/>
      <w:numFmt w:val="decimal"/>
      <w:pPr>
        <w:tabs>
          <w:tab w:val="num" w:leader="none" w:pos="2880"/>
        </w:tabs>
        <w:ind w:hanging="360" w:left="2880"/>
      </w:pPr>
      <w:start w:val="1"/>
      <w:suff w:val="tab"/>
    </w:lvl>
    <w:lvl w:ilvl="4">
      <w:lvlJc w:val="left"/>
      <w:lvlText w:val="%5."/>
      <w:numFmt w:val="decimal"/>
      <w:pPr>
        <w:tabs>
          <w:tab w:val="num" w:leader="none" w:pos="3600"/>
        </w:tabs>
        <w:ind w:hanging="360" w:left="3600"/>
      </w:pPr>
      <w:start w:val="1"/>
      <w:suff w:val="tab"/>
    </w:lvl>
    <w:lvl w:ilvl="5">
      <w:lvlJc w:val="left"/>
      <w:lvlText w:val="%6."/>
      <w:numFmt w:val="decimal"/>
      <w:pPr>
        <w:tabs>
          <w:tab w:val="num" w:leader="none" w:pos="4320"/>
        </w:tabs>
        <w:ind w:hanging="360" w:left="4320"/>
      </w:pPr>
      <w:start w:val="1"/>
      <w:suff w:val="tab"/>
    </w:lvl>
    <w:lvl w:ilvl="6">
      <w:lvlJc w:val="left"/>
      <w:lvlText w:val="%7."/>
      <w:numFmt w:val="decimal"/>
      <w:pPr>
        <w:tabs>
          <w:tab w:val="num" w:leader="none" w:pos="5040"/>
        </w:tabs>
        <w:ind w:hanging="360" w:left="5040"/>
      </w:pPr>
      <w:start w:val="1"/>
      <w:suff w:val="tab"/>
    </w:lvl>
    <w:lvl w:ilvl="7">
      <w:lvlJc w:val="left"/>
      <w:lvlText w:val="%8."/>
      <w:numFmt w:val="decimal"/>
      <w:pPr>
        <w:tabs>
          <w:tab w:val="num" w:leader="none" w:pos="5760"/>
        </w:tabs>
        <w:ind w:hanging="360" w:left="5760"/>
      </w:pPr>
      <w:start w:val="1"/>
      <w:suff w:val="tab"/>
    </w:lvl>
    <w:lvl w:ilvl="8">
      <w:lvlJc w:val="left"/>
      <w:lvlText w:val="%9."/>
      <w:numFmt w:val="decimal"/>
      <w:pPr>
        <w:tabs>
          <w:tab w:val="num" w:leader="none" w:pos="6480"/>
        </w:tabs>
        <w:ind w:hanging="360" w:left="6480"/>
      </w:pPr>
      <w:start w:val="1"/>
      <w:suff w:val="tab"/>
    </w:lvl>
  </w:abstractNum>
  <w:abstractNum w:abstractNumId="1">
    <w:multiLevelType w:val="hybridMultilevel"/>
    <w:lvl w:ilvl="0">
      <w:lvlJc w:val="left"/>
      <w:lvlText w:val="%1."/>
      <w:numFmt w:val="decimal"/>
      <w:pPr>
        <w:ind w:hanging="360" w:left="720"/>
      </w:pPr>
      <w:rPr>
        <w:rFonts w:eastAsia="Times New Roman"/>
        <w:color w:val="000000"/>
      </w:rPr>
      <w:start w:val="1"/>
      <w:suff w:val="tab"/>
    </w:lvl>
    <w:lvl w:ilvl="1">
      <w:lvlJc w:val="left"/>
      <w:lvlText w:val="%2."/>
      <w:numFmt w:val="lowerLetter"/>
      <w:pPr>
        <w:ind w:hanging="360" w:left="1440"/>
      </w:pPr>
      <w:start w:val="1"/>
      <w:suff w:val="tab"/>
    </w:lvl>
    <w:lvl w:ilvl="2">
      <w:lvlJc w:val="right"/>
      <w:lvlText w:val="%3."/>
      <w:numFmt w:val="lowerRoman"/>
      <w:pPr>
        <w:ind w:hanging="180" w:left="2160"/>
      </w:pPr>
      <w:start w:val="1"/>
      <w:suff w:val="tab"/>
    </w:lvl>
    <w:lvl w:ilvl="3">
      <w:lvlJc w:val="left"/>
      <w:lvlText w:val="%4."/>
      <w:numFmt w:val="decimal"/>
      <w:pPr>
        <w:ind w:hanging="360" w:left="2880"/>
      </w:pPr>
      <w:start w:val="1"/>
      <w:suff w:val="tab"/>
    </w:lvl>
    <w:lvl w:ilvl="4">
      <w:lvlJc w:val="left"/>
      <w:lvlText w:val="%5."/>
      <w:numFmt w:val="lowerLetter"/>
      <w:pPr>
        <w:ind w:hanging="360" w:left="3600"/>
      </w:pPr>
      <w:start w:val="1"/>
      <w:suff w:val="tab"/>
    </w:lvl>
    <w:lvl w:ilvl="5">
      <w:lvlJc w:val="right"/>
      <w:lvlText w:val="%6."/>
      <w:numFmt w:val="lowerRoman"/>
      <w:pPr>
        <w:ind w:hanging="180" w:left="4320"/>
      </w:pPr>
      <w:start w:val="1"/>
      <w:suff w:val="tab"/>
    </w:lvl>
    <w:lvl w:ilvl="6">
      <w:lvlJc w:val="left"/>
      <w:lvlText w:val="%7."/>
      <w:numFmt w:val="decimal"/>
      <w:pPr>
        <w:ind w:hanging="360" w:left="5040"/>
      </w:pPr>
      <w:start w:val="1"/>
      <w:suff w:val="tab"/>
    </w:lvl>
    <w:lvl w:ilvl="7">
      <w:lvlJc w:val="left"/>
      <w:lvlText w:val="%8."/>
      <w:numFmt w:val="lowerLetter"/>
      <w:pPr>
        <w:ind w:hanging="360" w:left="5760"/>
      </w:pPr>
      <w:start w:val="1"/>
      <w:suff w:val="tab"/>
    </w:lvl>
    <w:lvl w:ilvl="8">
      <w:lvlJc w:val="right"/>
      <w:lvlText w:val="%9."/>
      <w:numFmt w:val="lowerRoman"/>
      <w:pPr>
        <w:ind w:hanging="180" w:left="6480"/>
      </w:p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isplayHorizontalDrawingGridEvery w:val="1"/>
  <w:displayVerticalDrawingGridEvery w:val="1"/>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Calibri"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pPr>
      <w:spacing w:after="200" w:line="276" w:lineRule="auto"/>
    </w:pPr>
    <w:rPr>
      <w:sz w:val="22"/>
      <w:szCs w:val="22"/>
      <w:lang w:val="ru-RU" w:eastAsia="en-US" w:bidi="ar-SA"/>
    </w:rPr>
  </w:style>
  <w:style w:type="character" w:styleId="NormalCharacter">
    <w:name w:val="Основной шрифт абзаца"/>
    <w:next w:val="NormalCharacter"/>
    <w:link w:val="Normal"/>
    <w:uiPriority w:val="1"/>
    <w:semiHidden/>
    <w:unhideWhenUsed/>
  </w:style>
  <w:style w:type="table" w:styleId="TableNormal">
    <w:name w:val="Обычная таблица"/>
    <w:next w:val="TableNormal"/>
    <w:link w:val="Normal"/>
    <w:uiPriority w:val="99"/>
    <w:semiHidden/>
    <w:unhideWhenUsed/>
    <w:tblPr>
      <w:tblW w:w="0" w:type="auto"/>
      <w:tblInd w:w="0" w:type="dxa"/>
      <w:tblLayout w:type="fixed"/>
      <w:tblCellMar>
        <w:left w:w="108" w:type="dxa"/>
        <w:top w:w="0" w:type="dxa"/>
        <w:right w:w="108" w:type="dxa"/>
        <w:bottom w:w="0" w:type="dxa"/>
      </w:tblCellMar>
    </w:tblPr>
  </w:style>
  <w:style w:type="numbering" w:styleId="NormalList">
    <w:name w:val="Нет списка"/>
    <w:next w:val="NormalList"/>
    <w:link w:val="Normal"/>
    <w:uiPriority w:val="99"/>
    <w:semiHidden/>
    <w:unhideWhenUsed/>
  </w:style>
  <w:style w:type="paragraph" w:styleId="179">
    <w:name w:val="Абзац списка"/>
    <w:basedOn w:val="Normal"/>
    <w:next w:val="179"/>
    <w:link w:val="Normal"/>
    <w:uiPriority w:val="34"/>
    <w:qFormat/>
    <w:pPr>
      <w:spacing w:after="0" w:line="240" w:lineRule="auto"/>
      <w:ind w:left="720"/>
      <w:contextualSpacing w:val="true"/>
    </w:pPr>
    <w:rPr>
      <w:rFonts w:ascii="Times New Roman" w:hAnsi="Times New Roman" w:eastAsia="Times New Roman" w:cs="Times New Roman"/>
      <w:sz w:val="24"/>
      <w:szCs w:val="24"/>
      <w:lang w:eastAsia="ru-RU"/>
    </w:rPr>
  </w:style>
  <w:style w:type="paragraph" w:styleId="HtmlNormal">
    <w:name w:val="Обычный (веб)"/>
    <w:basedOn w:val="Normal"/>
    <w:next w:val="HtmlNormal"/>
    <w:link w:val="Normal"/>
    <w:uiPriority w:val="99"/>
    <w:semiHidden/>
    <w:unhideWhenUsed/>
    <w:pPr>
      <w:spacing w:after="100" w:afterAutospacing="1" w:before="100" w:beforeAutospacing="1" w:line="240" w:lineRule="auto"/>
    </w:pPr>
    <w:rPr>
      <w:rFonts w:ascii="Times New Roman" w:hAnsi="Times New Roman" w:eastAsia="Times New Roman" w:cs="Times New Roman"/>
      <w:sz w:val="24"/>
      <w:szCs w:val="24"/>
      <w:lang w:eastAsia="ru-RU"/>
    </w:rPr>
  </w:style>
  <w:style w:type="paragraph" w:styleId="User">
    <w:name w:val="Без интервала"/>
    <w:next w:val="User"/>
    <w:link w:val="Normal"/>
    <w:uiPriority w:val="1"/>
    <w:qFormat/>
    <w:rPr>
      <w:sz w:val="22"/>
      <w:szCs w:val="22"/>
      <w:lang w:val="ru-RU" w:eastAsia="en-US" w:bidi="ar-SA"/>
    </w:rPr>
  </w:style>
  <w:style w:type="character" w:styleId="Hyperlink">
    <w:name w:val="Гиперссылка"/>
    <w:next w:val="Hyperlink"/>
    <w:link w:val="Normal"/>
    <w:uiPriority w:val="99"/>
    <w:semiHidden/>
    <w:unhideWhenUsed/>
    <w:rPr>
      <w:color w:val="0000ff"/>
      <w:u w:val="single"/>
    </w:rPr>
  </w:style>
  <w:style w:type="character" w:styleId="Strong">
    <w:name w:val="Строгий"/>
    <w:next w:val="Strong"/>
    <w:link w:val="Normal"/>
    <w:uiPriority w:val="22"/>
    <w:qFormat/>
    <w:rPr>
      <w:b/>
      <w:bCs/>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Pages>1</Pages>
  <Words>337</Words>
  <Characters>1921</Characters>
  <CharactersWithSpaces>2254</CharactersWithSpaces>
  <Application>ONLYOFFICE/8.3.0.97</Application>
  <DocSecurity>0</DocSecurity>
  <Lines>16</Lines>
  <Paragraphs>4</Paragraphs>
  <ScaleCrop>0</ScaleCrop>
  <HeadingPairs>
    <vt:vector size="0" baseType="variant"/>
  </HeadingPairs>
  <TitlesOfParts>
    <vt:vector size="0" baseType="lpstr"/>
  </TitlesOfParts>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Ефимова Елена Николаевна</dc:creator>
  <cp:lastModifiedBy>Internet</cp:lastModifiedBy>
  <cp:revision>2</cp:revision>
  <dcterms:created xsi:type="dcterms:W3CDTF">2025-12-25T14:44:00Z</dcterms:created>
  <dcterms:modified xsi:type="dcterms:W3CDTF">2025-12-25T14:44:00Z</dcterms:modified>
  <cp:version>917504</cp:version>
</cp:coreProperties>
</file>